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0" w:firstLineChars="0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附件</w:t>
      </w:r>
    </w:p>
    <w:p>
      <w:pPr>
        <w:spacing w:line="640" w:lineRule="exact"/>
        <w:ind w:firstLine="0" w:firstLineChars="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李晓宇同志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情况简介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李晓宇，女，汉族，1984年3月出生，中共党员，硕士。历任江苏师范大学文学院专职辅导员、团委书记、党委学生工作部教育科科长，现任外国语学院党委副书记、专职辅导员。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李晓宇15年从事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学生教育管理工作，秉承“初心铸魂、匠心育才、丹心报国”理念，坚持“党建育人”，锻造“1+2+5红色聚能环”，搭建“以爱育爱”矩阵，筑牢青年信仰之基；坚持“文化育人”，立足“外语人”核心竞争力，发挥“文化外院”多维育人功能，构建多元竞赛体系，2次指导“挑战杯”项目获国奖，20名学生在国赛中锻炼成长，2人获国赛特等奖；坚持“实践育人”，“行走的英语课堂”实践团被誉为“乡村的英语使者”，组织1000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</w:t>
      </w:r>
      <w:r>
        <w:rPr>
          <w:rFonts w:hint="eastAsia" w:ascii="仿宋" w:hAnsi="仿宋" w:eastAsia="仿宋" w:cs="仿宋"/>
          <w:sz w:val="32"/>
          <w:szCs w:val="32"/>
        </w:rPr>
        <w:t>学生投入涉外志愿服务，在世界舞台彰显中国青年力量，4年赴10省21市，引领“外语青年”以青年视角探索世界，用青年声音讲述中国。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NDk3MDE5NGE0YjVkMmMzNjlhYjcxMmEwODkzYjkifQ=="/>
  </w:docVars>
  <w:rsids>
    <w:rsidRoot w:val="3CCE4C5F"/>
    <w:rsid w:val="3CCE4C5F"/>
    <w:rsid w:val="5413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800" w:firstLineChars="200"/>
      <w:jc w:val="both"/>
    </w:pPr>
    <w:rPr>
      <w:rFonts w:ascii="微软雅黑" w:hAnsi="微软雅黑" w:eastAsia="宋体" w:cs="宋体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2024-03-19T09:26:00Z</dcterms:created>
  <dc:creator>Re`venge</dc:creator>
  <cp:lastModifiedBy>Re`venge</cp:lastModifiedBy>
  <dcterms:modified xsi:type="dcterms:W3CDTF">2024-03-19T09:32:45Z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69240DD2A2E145379B90082249E34F65_11</vt:lpwstr>
  </property>
</Properties>
</file>